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9DE2" w14:textId="77777777" w:rsidR="00304EFD" w:rsidRDefault="00000000">
      <w:pPr>
        <w:shd w:val="clear" w:color="auto" w:fill="FFFFFC"/>
        <w:spacing w:after="120" w:line="240" w:lineRule="auto"/>
        <w:jc w:val="center"/>
      </w:pPr>
      <w:r>
        <w:rPr>
          <w:b/>
          <w:bCs/>
          <w:color w:val="40403D"/>
          <w:sz w:val="44"/>
          <w:szCs w:val="44"/>
          <w:highlight w:val="white"/>
          <w:lang w:val="hu-HU"/>
        </w:rPr>
        <w:t xml:space="preserve">A Levegő Munkacsoport </w:t>
      </w:r>
      <w:r>
        <w:rPr>
          <w:b/>
          <w:bCs/>
          <w:color w:val="40403D"/>
          <w:sz w:val="44"/>
          <w:szCs w:val="44"/>
          <w:highlight w:val="white"/>
          <w:lang w:val="hu-HU"/>
        </w:rPr>
        <w:br/>
        <w:t>álláspontja az EU ETS felülvizsgálatáról</w:t>
      </w:r>
    </w:p>
    <w:p w14:paraId="724AF144" w14:textId="77777777" w:rsidR="00304EFD" w:rsidRDefault="00304EFD">
      <w:pPr>
        <w:spacing w:after="120" w:line="240" w:lineRule="auto"/>
        <w:jc w:val="both"/>
        <w:rPr>
          <w:sz w:val="24"/>
          <w:szCs w:val="24"/>
          <w:lang w:val="hu-HU"/>
        </w:rPr>
      </w:pPr>
    </w:p>
    <w:p w14:paraId="4016BBCF" w14:textId="77777777" w:rsidR="00304EFD" w:rsidRDefault="00000000">
      <w:pPr>
        <w:spacing w:after="120" w:line="240" w:lineRule="auto"/>
        <w:jc w:val="both"/>
      </w:pPr>
      <w:r>
        <w:rPr>
          <w:lang w:val="hu-HU"/>
        </w:rPr>
        <w:t>A Levegő Munkacsoport üdvözli, hogy a Kormány lehetőséget biztosít a társadalmi szervezetek számára az Európai Unió kibocsátáskereskedelmi rendszerének (EU ETS) felülvizsgálatával kapcsolatos álláspontjuk kifejtésére.</w:t>
      </w:r>
    </w:p>
    <w:p w14:paraId="432FC2A6" w14:textId="77777777" w:rsidR="00304EFD" w:rsidRDefault="00000000">
      <w:pPr>
        <w:spacing w:after="120" w:line="240" w:lineRule="auto"/>
        <w:jc w:val="both"/>
      </w:pPr>
      <w:r>
        <w:rPr>
          <w:lang w:val="hu-HU"/>
        </w:rPr>
        <w:t>A Levegő Munkacsoport azt kéri a Magyar Kormánytól, hogy az EU ETS felülvizsgálata során az alábbi álláspontokat képviselje:</w:t>
      </w:r>
    </w:p>
    <w:p w14:paraId="1A4B3AF7" w14:textId="77777777" w:rsidR="00304EFD" w:rsidRDefault="00000000">
      <w:pPr>
        <w:numPr>
          <w:ilvl w:val="0"/>
          <w:numId w:val="1"/>
        </w:numPr>
        <w:spacing w:after="120" w:line="240" w:lineRule="auto"/>
        <w:jc w:val="both"/>
      </w:pPr>
      <w:r>
        <w:rPr>
          <w:b/>
          <w:bCs/>
          <w:lang w:val="hu-HU"/>
        </w:rPr>
        <w:t>Az EU ETS ambíciójának megőrzése.</w:t>
      </w:r>
      <w:r>
        <w:rPr>
          <w:lang w:val="hu-HU"/>
        </w:rPr>
        <w:t xml:space="preserve"> A rendszernek továbbra is erős és kiszámítható ösztönzést kell adnia a fosszilis energiahordozók kivezetésére és az ipari kibocsátások csökkentésére. Kerülni kell minden olyan módosítást, amely túlkínálathoz és így tartósan alacsony szén-dioxid-árhoz vezethet. </w:t>
      </w:r>
    </w:p>
    <w:p w14:paraId="5321D558" w14:textId="77777777" w:rsidR="00304EFD" w:rsidRDefault="00000000">
      <w:pPr>
        <w:numPr>
          <w:ilvl w:val="0"/>
          <w:numId w:val="1"/>
        </w:numPr>
        <w:spacing w:after="120" w:line="240" w:lineRule="auto"/>
        <w:jc w:val="both"/>
      </w:pPr>
      <w:r>
        <w:rPr>
          <w:b/>
          <w:bCs/>
          <w:lang w:val="hu-HU"/>
        </w:rPr>
        <w:t>A lineáris csökkentési tényező magas szinten tartása.</w:t>
      </w:r>
      <w:r>
        <w:rPr>
          <w:lang w:val="hu-HU"/>
        </w:rPr>
        <w:t xml:space="preserve"> Az EU klímacéljainak teljesítéséhez nem a kibocsátáscsökkentési pálya lazítására, hanem a </w:t>
      </w:r>
      <w:proofErr w:type="spellStart"/>
      <w:r>
        <w:rPr>
          <w:lang w:val="hu-HU"/>
        </w:rPr>
        <w:t>dekarbonizáció</w:t>
      </w:r>
      <w:proofErr w:type="spellEnd"/>
      <w:r>
        <w:rPr>
          <w:lang w:val="hu-HU"/>
        </w:rPr>
        <w:t xml:space="preserve"> felgyorsítására van szükség.</w:t>
      </w:r>
    </w:p>
    <w:p w14:paraId="540272F9" w14:textId="77777777" w:rsidR="00304EFD" w:rsidRDefault="00000000">
      <w:pPr>
        <w:numPr>
          <w:ilvl w:val="0"/>
          <w:numId w:val="1"/>
        </w:numPr>
        <w:spacing w:after="120" w:line="240" w:lineRule="auto"/>
        <w:jc w:val="both"/>
      </w:pPr>
      <w:r>
        <w:rPr>
          <w:b/>
          <w:bCs/>
          <w:lang w:val="hu-HU"/>
        </w:rPr>
        <w:t>Az ingyenes kvóták mielőbbi kivezetése.</w:t>
      </w:r>
      <w:r>
        <w:rPr>
          <w:lang w:val="hu-HU"/>
        </w:rPr>
        <w:t xml:space="preserve"> Az ingyenes kvótákat mielőbb meg kell szüntetni. A fosszilis energia már most is hatalmas támogatásokat kap,</w:t>
      </w:r>
      <w:r>
        <w:rPr>
          <w:rStyle w:val="Lbjegyzet-horgony"/>
          <w:lang w:val="hu-HU"/>
        </w:rPr>
        <w:footnoteReference w:id="1"/>
      </w:r>
      <w:r>
        <w:rPr>
          <w:lang w:val="hu-HU"/>
        </w:rPr>
        <w:t xml:space="preserve"> ezt nem szabad tovább fokozni. </w:t>
      </w:r>
      <w:proofErr w:type="gramStart"/>
      <w:r>
        <w:rPr>
          <w:lang w:val="hu-HU"/>
        </w:rPr>
        <w:t>A</w:t>
      </w:r>
      <w:proofErr w:type="gramEnd"/>
      <w:r>
        <w:rPr>
          <w:lang w:val="hu-HU"/>
        </w:rPr>
        <w:t xml:space="preserve"> ingyenes kvótákkal egyes ipari szennyezők még akár piaci előnyhöz is juthatnak, miközben emiatt az állam bevételtől esik el és versenyképességet is veszít</w:t>
      </w:r>
      <w:r>
        <w:rPr>
          <w:rStyle w:val="Lbjegyzet-horgony"/>
          <w:lang w:val="hu-HU"/>
        </w:rPr>
        <w:footnoteReference w:id="2"/>
      </w:r>
      <w:r>
        <w:rPr>
          <w:lang w:val="hu-HU"/>
        </w:rPr>
        <w:t xml:space="preserve">. Azok a vállalkozások, amelyek nem tudnak támogatás nélkül tovább fennmaradni, vagy profilt váltanak, vagy </w:t>
      </w:r>
      <w:proofErr w:type="spellStart"/>
      <w:r>
        <w:rPr>
          <w:lang w:val="hu-HU"/>
        </w:rPr>
        <w:t>tönkremennek</w:t>
      </w:r>
      <w:proofErr w:type="spellEnd"/>
      <w:r>
        <w:rPr>
          <w:lang w:val="hu-HU"/>
        </w:rPr>
        <w:t xml:space="preserve"> – így működik a piacgazdaság. A vállalatok ne állami támogatásokból éljenek meg, hanem a piacról! Ha pedig a CBAM ellenére is más országba kíván költözni egy gyár, akkor – hacsak nemzetbiztonsági okok nem indokolják az ellenkezőjét – nem kell akadályozni az elköltözését, hiszen így a versenyképes tevékenységek maradnak Európában. </w:t>
      </w:r>
    </w:p>
    <w:p w14:paraId="7D01AAC5" w14:textId="77777777" w:rsidR="00304EFD" w:rsidRDefault="00000000">
      <w:pPr>
        <w:numPr>
          <w:ilvl w:val="0"/>
          <w:numId w:val="1"/>
        </w:numPr>
        <w:spacing w:after="120" w:line="240" w:lineRule="auto"/>
        <w:jc w:val="both"/>
      </w:pPr>
      <w:r>
        <w:rPr>
          <w:b/>
          <w:bCs/>
          <w:lang w:val="hu-HU"/>
        </w:rPr>
        <w:t>Az ETS-bevételek valódi klímavédelmi célú felhasználása.</w:t>
      </w:r>
      <w:r>
        <w:rPr>
          <w:lang w:val="hu-HU"/>
        </w:rPr>
        <w:t xml:space="preserve"> A bevételeket átláthatóan és nyomon követhető módon elsősorban energiahatékonyságra, szemléletformálásra és szociális támogatásokra kell fordítani. Ezt az indokolja, hogy – amint azt az idei nyár minden eddiginél látványosabban bebizonyította – a lakosság egészsége, sőt élete egyre nagyobb veszélyben van. Épületeinket nem ilyen időjárási viszonyokra tervezték. A lakosság egészségét pedig elsősorban az ETS irányelv</w:t>
      </w:r>
      <w:r>
        <w:rPr>
          <w:rStyle w:val="Lbjegyzet-horgony"/>
          <w:lang w:val="hu-HU"/>
        </w:rPr>
        <w:footnoteReference w:id="3"/>
      </w:r>
      <w:r>
        <w:rPr>
          <w:lang w:val="hu-HU"/>
        </w:rPr>
        <w:t xml:space="preserve"> 10. cikke (3) bekezdésének (h) pontja szerinti támogatással, valamint hatékony tájékoztatással lehet megóvni. Ami pedig az ipart illeti, a megújuló energiák és az energiatárolás támogatás nélkül is egyre versenyképesebbé válnak, a fosszilis energiák növekvő árai (ami részben az ETS-</w:t>
      </w:r>
      <w:proofErr w:type="spellStart"/>
      <w:r>
        <w:rPr>
          <w:lang w:val="hu-HU"/>
        </w:rPr>
        <w:t>nek</w:t>
      </w:r>
      <w:proofErr w:type="spellEnd"/>
      <w:r>
        <w:rPr>
          <w:lang w:val="hu-HU"/>
        </w:rPr>
        <w:t xml:space="preserve"> is köszönhető), még versenyképesebbé teszik ezeket. A vállalatok (amint fentebb leírtuk) ne támogatásból, hanem a piacról éljenek meg. Rendkívül fontos jelentős összegeket fordítani a szemléletformálásra is, mivel óriási az ismerethiány, a hibás szemlélet, és jelentős a félretájékoztatás, a dezinformáció mértéke is. A szociális támogatások pedig az elkerülhetetlen változtatásokat teszik széles körben elfogadottabbá. Mivel a rendelkezésre álló források szűkösek és mindig is </w:t>
      </w:r>
      <w:proofErr w:type="spellStart"/>
      <w:r>
        <w:rPr>
          <w:lang w:val="hu-HU"/>
        </w:rPr>
        <w:t>korlátosak</w:t>
      </w:r>
      <w:proofErr w:type="spellEnd"/>
      <w:r>
        <w:rPr>
          <w:lang w:val="hu-HU"/>
        </w:rPr>
        <w:t xml:space="preserve"> lesznek, a közpénzeket a leginkább költséghatékony módon kell felhasználni. </w:t>
      </w:r>
    </w:p>
    <w:p w14:paraId="4401527C" w14:textId="77777777" w:rsidR="00304EFD" w:rsidRDefault="00000000">
      <w:pPr>
        <w:numPr>
          <w:ilvl w:val="0"/>
          <w:numId w:val="1"/>
        </w:numPr>
        <w:spacing w:after="120" w:line="240" w:lineRule="auto"/>
        <w:jc w:val="both"/>
      </w:pPr>
      <w:r>
        <w:rPr>
          <w:b/>
          <w:bCs/>
          <w:lang w:val="hu-HU"/>
        </w:rPr>
        <w:lastRenderedPageBreak/>
        <w:t>A települési hulladékégetés bevonása az ETS-be.</w:t>
      </w:r>
      <w:r>
        <w:rPr>
          <w:lang w:val="hu-HU"/>
        </w:rPr>
        <w:t xml:space="preserve"> Ez támogatandó, ugyanakkor az ETS-</w:t>
      </w:r>
      <w:proofErr w:type="spellStart"/>
      <w:r>
        <w:rPr>
          <w:lang w:val="hu-HU"/>
        </w:rPr>
        <w:t>nek</w:t>
      </w:r>
      <w:proofErr w:type="spellEnd"/>
      <w:r>
        <w:rPr>
          <w:lang w:val="hu-HU"/>
        </w:rPr>
        <w:t xml:space="preserve"> összhangban kell állnia a hulladékhierarchiával: a megelőzésnek, az </w:t>
      </w:r>
      <w:proofErr w:type="spellStart"/>
      <w:r>
        <w:rPr>
          <w:lang w:val="hu-HU"/>
        </w:rPr>
        <w:t>újrahasználatnak</w:t>
      </w:r>
      <w:proofErr w:type="spellEnd"/>
      <w:r>
        <w:rPr>
          <w:lang w:val="hu-HU"/>
        </w:rPr>
        <w:t xml:space="preserve"> és az újrafeldolgozásnak elsőbbséget kell élveznie az égetéssel szemben.</w:t>
      </w:r>
    </w:p>
    <w:p w14:paraId="01C62FE6" w14:textId="77777777" w:rsidR="00304EFD" w:rsidRDefault="00000000">
      <w:pPr>
        <w:numPr>
          <w:ilvl w:val="0"/>
          <w:numId w:val="1"/>
        </w:numPr>
        <w:spacing w:after="120" w:line="240" w:lineRule="auto"/>
        <w:jc w:val="both"/>
      </w:pPr>
      <w:r>
        <w:rPr>
          <w:b/>
          <w:bCs/>
          <w:lang w:val="hu-HU"/>
        </w:rPr>
        <w:t>A nemzetközi kibocsátási kreditek és a szén-dioxid-eltávolítás ne gyengítsék az ETS-t.</w:t>
      </w:r>
      <w:r>
        <w:rPr>
          <w:lang w:val="hu-HU"/>
        </w:rPr>
        <w:t xml:space="preserve"> Az európai kibocsátások tényleges csökkentését nem szabad nemzetközi kreditekkel vagy szén-dioxid</w:t>
      </w:r>
      <w:r>
        <w:rPr>
          <w:lang w:val="hu-HU"/>
        </w:rPr>
        <w:noBreakHyphen/>
        <w:t>eltávolítással helyettesíteni.</w:t>
      </w:r>
      <w:r>
        <w:rPr>
          <w:rStyle w:val="Lbjegyzet-horgony"/>
          <w:lang w:val="hu-HU"/>
        </w:rPr>
        <w:footnoteReference w:id="4"/>
      </w:r>
      <w:r>
        <w:rPr>
          <w:vertAlign w:val="superscript"/>
          <w:lang w:val="hu-HU"/>
        </w:rPr>
        <w:t xml:space="preserve"> </w:t>
      </w:r>
      <w:r>
        <w:rPr>
          <w:lang w:val="hu-HU"/>
        </w:rPr>
        <w:t xml:space="preserve">A szén-dioxid-eltávolításra csak akkor </w:t>
      </w:r>
      <w:proofErr w:type="spellStart"/>
      <w:r>
        <w:rPr>
          <w:lang w:val="hu-HU"/>
        </w:rPr>
        <w:t>kerülhessen</w:t>
      </w:r>
      <w:proofErr w:type="spellEnd"/>
      <w:r>
        <w:rPr>
          <w:lang w:val="hu-HU"/>
        </w:rPr>
        <w:t xml:space="preserve"> sor, ha már az összes költséghatékonyabb eljárás lehetőségei kimerültek.</w:t>
      </w:r>
    </w:p>
    <w:p w14:paraId="2B283DA8" w14:textId="77777777" w:rsidR="00304EFD" w:rsidRDefault="00000000">
      <w:pPr>
        <w:numPr>
          <w:ilvl w:val="0"/>
          <w:numId w:val="1"/>
        </w:numPr>
        <w:spacing w:after="120" w:line="240" w:lineRule="auto"/>
        <w:jc w:val="both"/>
      </w:pPr>
      <w:r>
        <w:rPr>
          <w:b/>
          <w:bCs/>
          <w:lang w:val="hu-HU"/>
        </w:rPr>
        <w:t>Az ETS ne veszítse el ösztönző erejét több kisebb módosítás együttes hatása miatt sem.</w:t>
      </w:r>
      <w:r>
        <w:rPr>
          <w:lang w:val="hu-HU"/>
        </w:rPr>
        <w:t xml:space="preserve"> A lineáris csökkentés enyhítése, az ingyenes kvóták fenntartása, a nemzetközi kreditek és a szén-dioxid-eltávolítás együttesen túlkínálathoz és gyenge karbonárhoz vezethetnek, ami aláásná az ETS célját, ezért ezeket sem külön-külön, sem együttesen nem szabad megengedni.</w:t>
      </w:r>
    </w:p>
    <w:p w14:paraId="41D22B3A" w14:textId="77777777" w:rsidR="00304EFD" w:rsidRDefault="00000000">
      <w:pPr>
        <w:numPr>
          <w:ilvl w:val="0"/>
          <w:numId w:val="1"/>
        </w:numPr>
        <w:spacing w:after="120" w:line="240" w:lineRule="auto"/>
        <w:jc w:val="both"/>
      </w:pPr>
      <w:r>
        <w:rPr>
          <w:b/>
          <w:bCs/>
          <w:lang w:val="hu-HU"/>
        </w:rPr>
        <w:t>Az ETS-t az európai ipar modernizációjának eszközeként kell használni.</w:t>
      </w:r>
      <w:r>
        <w:rPr>
          <w:lang w:val="hu-HU"/>
        </w:rPr>
        <w:t xml:space="preserve"> A klímavédelem és a versenyképesség nem ellentétes célok: az ETS – a bevételek megfelelő felhasználásával együtt – a gazdaság korszerűsítését, versenyképességének javítását szolgálja.</w:t>
      </w:r>
      <w:r>
        <w:rPr>
          <w:rStyle w:val="Lbjegyzet-horgony"/>
          <w:lang w:val="hu-HU"/>
        </w:rPr>
        <w:footnoteReference w:id="5"/>
      </w:r>
      <w:r>
        <w:rPr>
          <w:lang w:val="hu-HU"/>
        </w:rPr>
        <w:t xml:space="preserve"> A fosszilis energiák támogatása félrevezette és félrevezeti a döntéshozókat kormányzati és vállalati szinten egyaránt, aminek súlyos következményeit egyre inkább tapasztaljuk.  </w:t>
      </w:r>
    </w:p>
    <w:p w14:paraId="36D12EB5" w14:textId="77777777" w:rsidR="00304EFD" w:rsidRDefault="00000000">
      <w:pPr>
        <w:numPr>
          <w:ilvl w:val="0"/>
          <w:numId w:val="1"/>
        </w:numPr>
        <w:spacing w:after="120" w:line="240" w:lineRule="auto"/>
        <w:jc w:val="both"/>
      </w:pPr>
      <w:r>
        <w:rPr>
          <w:b/>
          <w:bCs/>
          <w:lang w:val="hu-HU"/>
        </w:rPr>
        <w:t>A légiközlekedés és a hajózás teljesebb bevonása az ETS-be.</w:t>
      </w:r>
      <w:r>
        <w:rPr>
          <w:lang w:val="hu-HU"/>
        </w:rPr>
        <w:t xml:space="preserve"> A Bizottság azon javaslatai, amelyek bővítik a nemzetközi légiközlekedés és a hajózás karbonárazását </w:t>
      </w:r>
      <w:proofErr w:type="spellStart"/>
      <w:r>
        <w:rPr>
          <w:lang w:val="hu-HU"/>
        </w:rPr>
        <w:t>előrelépésnek</w:t>
      </w:r>
      <w:proofErr w:type="spellEnd"/>
      <w:r>
        <w:rPr>
          <w:lang w:val="hu-HU"/>
        </w:rPr>
        <w:t xml:space="preserve"> tekinthetők, de nem elég </w:t>
      </w:r>
      <w:proofErr w:type="spellStart"/>
      <w:r>
        <w:rPr>
          <w:lang w:val="hu-HU"/>
        </w:rPr>
        <w:t>ambíciózusak</w:t>
      </w:r>
      <w:proofErr w:type="spellEnd"/>
      <w:r>
        <w:rPr>
          <w:lang w:val="hu-HU"/>
        </w:rPr>
        <w:t xml:space="preserve">. A légiközlekedés esetében az EU-ból induló minden nemzetközi járatot be kell vonni az ETS-be, hogy a nagy távolságú járatok se maradjanak karbonárazás nélkül. A hajózásban támogatjuk a rendszer kiterjesztését a jelenleg kimaradó kisebb hajókra. Az ETS-bevételek célzott részét e célokra kell fordítani, miközben meg kell akadályozni a rendszer megkerülését, valamint az ebből fakadó versenytorzulást. </w:t>
      </w:r>
    </w:p>
    <w:p w14:paraId="11F9990B" w14:textId="77777777" w:rsidR="00304EFD" w:rsidRDefault="00000000">
      <w:pPr>
        <w:numPr>
          <w:ilvl w:val="0"/>
          <w:numId w:val="1"/>
        </w:numPr>
        <w:spacing w:after="120" w:line="240" w:lineRule="auto"/>
        <w:jc w:val="both"/>
      </w:pPr>
      <w:r>
        <w:rPr>
          <w:lang w:val="hu-HU"/>
        </w:rPr>
        <w:t>A</w:t>
      </w:r>
      <w:r>
        <w:rPr>
          <w:b/>
          <w:bCs/>
          <w:lang w:val="hu-HU"/>
        </w:rPr>
        <w:t>z ETS és az abból származó bevételek járuljanak hozzá a szociális igazságtalanságok, a társadalmi egyenlőtlenségek csökkentéséhez, amint arról az ETS Irányelv 1. cikke (3) bekezdése ha) pontja rendelkezik.</w:t>
      </w:r>
      <w:r>
        <w:rPr>
          <w:rStyle w:val="Lbjegyzet-horgony"/>
          <w:b/>
          <w:bCs/>
          <w:lang w:val="hu-HU"/>
        </w:rPr>
        <w:footnoteReference w:id="6"/>
      </w:r>
      <w:r>
        <w:rPr>
          <w:b/>
          <w:bCs/>
          <w:lang w:val="hu-HU"/>
        </w:rPr>
        <w:t xml:space="preserve"> </w:t>
      </w:r>
      <w:r>
        <w:rPr>
          <w:lang w:val="hu-HU"/>
        </w:rPr>
        <w:t>A fosszilis energiák jelenlegi támogatási rendszere rendkívül igazságtalan: a jómódúakat sokkal nagyobb mértékben támogatja, mint a szegényeket.</w:t>
      </w:r>
      <w:r>
        <w:rPr>
          <w:rStyle w:val="Lbjegyzet-horgony"/>
          <w:lang w:val="hu-HU"/>
        </w:rPr>
        <w:footnoteReference w:id="7"/>
      </w:r>
      <w:r>
        <w:rPr>
          <w:lang w:val="hu-HU"/>
        </w:rPr>
        <w:t xml:space="preserve"> Ezt az igazságtalan rendszert segítene legalább részben felszámolni az ETS, illetve a bevételei egy részének felhasználása a lakosság kompenzációjára.</w:t>
      </w:r>
      <w:r>
        <w:rPr>
          <w:rStyle w:val="Lbjegyzet-horgony"/>
          <w:lang w:val="hu-HU"/>
        </w:rPr>
        <w:footnoteReference w:id="8"/>
      </w:r>
      <w:r>
        <w:rPr>
          <w:lang w:val="hu-HU"/>
        </w:rPr>
        <w:t xml:space="preserve"> Egy ilyen átalakítás mindenkinek előnyös lenne, még a  jómódúaknak is .</w:t>
      </w:r>
      <w:r>
        <w:rPr>
          <w:rStyle w:val="Lbjegyzet-horgony"/>
          <w:lang w:val="hu-HU"/>
        </w:rPr>
        <w:footnoteReference w:id="9"/>
      </w:r>
      <w:r>
        <w:rPr>
          <w:lang w:val="hu-HU"/>
        </w:rPr>
        <w:t xml:space="preserve"> </w:t>
      </w:r>
    </w:p>
    <w:p w14:paraId="2F70F2D2" w14:textId="77777777" w:rsidR="00304EFD" w:rsidRDefault="00000000">
      <w:pPr>
        <w:spacing w:after="120" w:line="240" w:lineRule="auto"/>
        <w:ind w:left="720"/>
        <w:jc w:val="both"/>
      </w:pPr>
      <w:r>
        <w:rPr>
          <w:lang w:val="hu-HU"/>
        </w:rPr>
        <w:t xml:space="preserve">Bár a lábjegyzetben hivatkozott cikkek az ETS2 kapcsán készültek, az ott leírtak érvényesek az ETS-re is, hiszen végső sorban minden költséget a lakosság fizet meg; ráadásul amíg az említett támogatások nem kerülnek felszámolásra, illetve a kevésbé jómódúak nem kapnak megfelelő kompenzációt, addig is túlnyomó részben a </w:t>
      </w:r>
      <w:r>
        <w:rPr>
          <w:lang w:val="hu-HU"/>
        </w:rPr>
        <w:lastRenderedPageBreak/>
        <w:t>jómódúbb lakosok kapják a támogatást. (Az ETS gyengítése esetén például a cementipar tekintetében elsősorban az új lakásokat vásárlók kapnak továbbra is több támogatást, az acélipar esetén pedig a nagyobb autókat vásárlók.)</w:t>
      </w:r>
    </w:p>
    <w:p w14:paraId="1B202221" w14:textId="77777777" w:rsidR="00304EFD" w:rsidRDefault="00000000">
      <w:pPr>
        <w:numPr>
          <w:ilvl w:val="0"/>
          <w:numId w:val="1"/>
        </w:numPr>
        <w:spacing w:after="120" w:line="240" w:lineRule="auto"/>
        <w:jc w:val="both"/>
      </w:pPr>
      <w:r>
        <w:rPr>
          <w:b/>
          <w:bCs/>
          <w:lang w:val="hu-HU"/>
        </w:rPr>
        <w:t>A technikai részletek</w:t>
      </w:r>
      <w:r>
        <w:rPr>
          <w:lang w:val="hu-HU"/>
        </w:rPr>
        <w:t xml:space="preserve"> tekintetében támogatjuk az alábbi javaslatokat az Európai Éghajlatvédelmi Hálózat (CAN Europe), az Európai Környezetvédelmi Iroda (European </w:t>
      </w:r>
      <w:proofErr w:type="spellStart"/>
      <w:r>
        <w:rPr>
          <w:lang w:val="hu-HU"/>
        </w:rPr>
        <w:t>Environmental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Bureau</w:t>
      </w:r>
      <w:proofErr w:type="spellEnd"/>
      <w:r>
        <w:rPr>
          <w:lang w:val="hu-HU"/>
        </w:rPr>
        <w:t>) és az Európai Közlekedési és Környezetvédelmi Szövetség (Transport &amp; Environment) európai környezetvédő szervezetektől, melyeknek Levegő Munkacsoport is a tagszervezete:</w:t>
      </w:r>
    </w:p>
    <w:p w14:paraId="3ACA1C89" w14:textId="77777777" w:rsidR="00304EFD" w:rsidRDefault="00000000">
      <w:pPr>
        <w:numPr>
          <w:ilvl w:val="0"/>
          <w:numId w:val="2"/>
        </w:numPr>
        <w:spacing w:after="120" w:line="240" w:lineRule="auto"/>
        <w:ind w:left="900" w:hanging="180"/>
        <w:jc w:val="both"/>
      </w:pPr>
      <w:r>
        <w:rPr>
          <w:lang w:val="hu-HU"/>
        </w:rPr>
        <w:t>EEB: “</w:t>
      </w:r>
      <w:proofErr w:type="spellStart"/>
      <w:r>
        <w:fldChar w:fldCharType="begin"/>
      </w:r>
      <w:r>
        <w:instrText>HYPERLINK "https://eeb.org/en/library/recommendations-for-the-revision-of-the-eu-emissions-trading-system-ets/" \h</w:instrText>
      </w:r>
      <w:r>
        <w:fldChar w:fldCharType="separate"/>
      </w:r>
      <w:r>
        <w:rPr>
          <w:color w:val="1155CC"/>
          <w:u w:val="single"/>
          <w:lang w:val="hu-HU"/>
        </w:rPr>
        <w:t>Keep</w:t>
      </w:r>
      <w:proofErr w:type="spellEnd"/>
      <w:r>
        <w:rPr>
          <w:color w:val="1155CC"/>
          <w:u w:val="single"/>
          <w:lang w:val="hu-HU"/>
        </w:rPr>
        <w:t xml:space="preserve"> the ETS </w:t>
      </w:r>
      <w:proofErr w:type="spellStart"/>
      <w:r>
        <w:rPr>
          <w:color w:val="1155CC"/>
          <w:u w:val="single"/>
          <w:lang w:val="hu-HU"/>
        </w:rPr>
        <w:t>on</w:t>
      </w:r>
      <w:proofErr w:type="spellEnd"/>
      <w:r>
        <w:rPr>
          <w:color w:val="1155CC"/>
          <w:u w:val="single"/>
          <w:lang w:val="hu-HU"/>
        </w:rPr>
        <w:t xml:space="preserve"> </w:t>
      </w:r>
      <w:proofErr w:type="spellStart"/>
      <w:r>
        <w:rPr>
          <w:color w:val="1155CC"/>
          <w:u w:val="single"/>
          <w:lang w:val="hu-HU"/>
        </w:rPr>
        <w:t>Track</w:t>
      </w:r>
      <w:proofErr w:type="spellEnd"/>
      <w:r>
        <w:fldChar w:fldCharType="end"/>
      </w:r>
      <w:r>
        <w:rPr>
          <w:lang w:val="hu-HU"/>
        </w:rPr>
        <w:t>”</w:t>
      </w:r>
      <w:r>
        <w:rPr>
          <w:rStyle w:val="Lbjegyzet-horgony"/>
          <w:lang w:val="hu-HU"/>
        </w:rPr>
        <w:footnoteReference w:id="10"/>
      </w:r>
    </w:p>
    <w:p w14:paraId="76B597B9" w14:textId="77777777" w:rsidR="00304EFD" w:rsidRDefault="00000000">
      <w:pPr>
        <w:numPr>
          <w:ilvl w:val="0"/>
          <w:numId w:val="2"/>
        </w:numPr>
        <w:spacing w:after="120" w:line="240" w:lineRule="auto"/>
        <w:ind w:left="900" w:hanging="180"/>
        <w:jc w:val="both"/>
      </w:pPr>
      <w:r>
        <w:rPr>
          <w:lang w:val="hu-HU"/>
        </w:rPr>
        <w:t>CAN Europe: “</w:t>
      </w:r>
      <w:proofErr w:type="spellStart"/>
      <w:r>
        <w:fldChar w:fldCharType="begin"/>
      </w:r>
      <w:r>
        <w:instrText>HYPERLINK "https://caneurope.org/news/making-the-most-of-the-eu-ets-revision-in-central-and-eastern-europe/" \h</w:instrText>
      </w:r>
      <w:r>
        <w:fldChar w:fldCharType="separate"/>
      </w:r>
      <w:r>
        <w:rPr>
          <w:color w:val="1155CC"/>
          <w:u w:val="single"/>
          <w:lang w:val="hu-HU"/>
        </w:rPr>
        <w:t>Making</w:t>
      </w:r>
      <w:proofErr w:type="spellEnd"/>
      <w:r>
        <w:rPr>
          <w:color w:val="1155CC"/>
          <w:u w:val="single"/>
          <w:lang w:val="hu-HU"/>
        </w:rPr>
        <w:t xml:space="preserve"> the most of the EU ETS </w:t>
      </w:r>
      <w:proofErr w:type="spellStart"/>
      <w:r>
        <w:rPr>
          <w:color w:val="1155CC"/>
          <w:u w:val="single"/>
          <w:lang w:val="hu-HU"/>
        </w:rPr>
        <w:t>revision</w:t>
      </w:r>
      <w:proofErr w:type="spellEnd"/>
      <w:r>
        <w:rPr>
          <w:color w:val="1155CC"/>
          <w:u w:val="single"/>
          <w:lang w:val="hu-HU"/>
        </w:rPr>
        <w:t xml:space="preserve"> in </w:t>
      </w:r>
      <w:proofErr w:type="spellStart"/>
      <w:r>
        <w:rPr>
          <w:color w:val="1155CC"/>
          <w:u w:val="single"/>
          <w:lang w:val="hu-HU"/>
        </w:rPr>
        <w:t>Central</w:t>
      </w:r>
      <w:proofErr w:type="spellEnd"/>
      <w:r>
        <w:rPr>
          <w:color w:val="1155CC"/>
          <w:u w:val="single"/>
          <w:lang w:val="hu-HU"/>
        </w:rPr>
        <w:t xml:space="preserve"> and </w:t>
      </w:r>
      <w:proofErr w:type="spellStart"/>
      <w:r>
        <w:rPr>
          <w:color w:val="1155CC"/>
          <w:u w:val="single"/>
          <w:lang w:val="hu-HU"/>
        </w:rPr>
        <w:t>Eastern</w:t>
      </w:r>
      <w:proofErr w:type="spellEnd"/>
      <w:r>
        <w:rPr>
          <w:color w:val="1155CC"/>
          <w:u w:val="single"/>
          <w:lang w:val="hu-HU"/>
        </w:rPr>
        <w:t xml:space="preserve"> Europe”</w:t>
      </w:r>
      <w:r>
        <w:rPr>
          <w:rStyle w:val="Lbjegyzet-horgony"/>
          <w:color w:val="1155CC"/>
          <w:u w:val="single"/>
          <w:lang w:val="hu-HU"/>
        </w:rPr>
        <w:footnoteReference w:id="11"/>
      </w:r>
      <w:r>
        <w:fldChar w:fldCharType="end"/>
      </w:r>
    </w:p>
    <w:p w14:paraId="2F8A79E3" w14:textId="77777777" w:rsidR="00304EFD" w:rsidRDefault="00000000">
      <w:pPr>
        <w:numPr>
          <w:ilvl w:val="0"/>
          <w:numId w:val="2"/>
        </w:numPr>
        <w:spacing w:after="120" w:line="240" w:lineRule="auto"/>
        <w:ind w:left="900" w:hanging="180"/>
        <w:jc w:val="both"/>
      </w:pPr>
      <w:r>
        <w:rPr>
          <w:lang w:val="hu-HU"/>
        </w:rPr>
        <w:t xml:space="preserve">T&amp;E: </w:t>
      </w:r>
      <w:hyperlink r:id="rId7">
        <w:r w:rsidR="00304EFD">
          <w:rPr>
            <w:color w:val="1155CC"/>
            <w:u w:val="single"/>
            <w:lang w:val="hu-HU"/>
          </w:rPr>
          <w:t xml:space="preserve">EU </w:t>
        </w:r>
        <w:proofErr w:type="spellStart"/>
        <w:r w:rsidR="00304EFD">
          <w:rPr>
            <w:color w:val="1155CC"/>
            <w:u w:val="single"/>
            <w:lang w:val="hu-HU"/>
          </w:rPr>
          <w:t>takes</w:t>
        </w:r>
        <w:proofErr w:type="spellEnd"/>
        <w:r w:rsidR="00304EFD">
          <w:rPr>
            <w:color w:val="1155CC"/>
            <w:u w:val="single"/>
            <w:lang w:val="hu-HU"/>
          </w:rPr>
          <w:t xml:space="preserve"> </w:t>
        </w:r>
        <w:proofErr w:type="spellStart"/>
        <w:r w:rsidR="00304EFD">
          <w:rPr>
            <w:color w:val="1155CC"/>
            <w:u w:val="single"/>
            <w:lang w:val="hu-HU"/>
          </w:rPr>
          <w:t>half-hearted</w:t>
        </w:r>
        <w:proofErr w:type="spellEnd"/>
        <w:r w:rsidR="00304EFD">
          <w:rPr>
            <w:color w:val="1155CC"/>
            <w:u w:val="single"/>
            <w:lang w:val="hu-HU"/>
          </w:rPr>
          <w:t xml:space="preserve"> </w:t>
        </w:r>
        <w:proofErr w:type="spellStart"/>
        <w:r w:rsidR="00304EFD">
          <w:rPr>
            <w:color w:val="1155CC"/>
            <w:u w:val="single"/>
            <w:lang w:val="hu-HU"/>
          </w:rPr>
          <w:t>step</w:t>
        </w:r>
        <w:proofErr w:type="spellEnd"/>
        <w:r w:rsidR="00304EFD">
          <w:rPr>
            <w:color w:val="1155CC"/>
            <w:u w:val="single"/>
            <w:lang w:val="hu-HU"/>
          </w:rPr>
          <w:t xml:space="preserve"> </w:t>
        </w:r>
        <w:proofErr w:type="spellStart"/>
        <w:r w:rsidR="00304EFD">
          <w:rPr>
            <w:color w:val="1155CC"/>
            <w:u w:val="single"/>
            <w:lang w:val="hu-HU"/>
          </w:rPr>
          <w:t>towards</w:t>
        </w:r>
        <w:proofErr w:type="spellEnd"/>
        <w:r w:rsidR="00304EFD">
          <w:rPr>
            <w:color w:val="1155CC"/>
            <w:u w:val="single"/>
            <w:lang w:val="hu-HU"/>
          </w:rPr>
          <w:t xml:space="preserve"> </w:t>
        </w:r>
        <w:proofErr w:type="spellStart"/>
        <w:r w:rsidR="00304EFD">
          <w:rPr>
            <w:color w:val="1155CC"/>
            <w:u w:val="single"/>
            <w:lang w:val="hu-HU"/>
          </w:rPr>
          <w:t>taxing</w:t>
        </w:r>
        <w:proofErr w:type="spellEnd"/>
        <w:r w:rsidR="00304EFD">
          <w:rPr>
            <w:color w:val="1155CC"/>
            <w:u w:val="single"/>
            <w:lang w:val="hu-HU"/>
          </w:rPr>
          <w:t xml:space="preserve"> </w:t>
        </w:r>
        <w:proofErr w:type="spellStart"/>
        <w:r w:rsidR="00304EFD">
          <w:rPr>
            <w:color w:val="1155CC"/>
            <w:u w:val="single"/>
            <w:lang w:val="hu-HU"/>
          </w:rPr>
          <w:t>international</w:t>
        </w:r>
        <w:proofErr w:type="spellEnd"/>
        <w:r w:rsidR="00304EFD">
          <w:rPr>
            <w:color w:val="1155CC"/>
            <w:u w:val="single"/>
            <w:lang w:val="hu-HU"/>
          </w:rPr>
          <w:t xml:space="preserve"> </w:t>
        </w:r>
        <w:proofErr w:type="spellStart"/>
        <w:r w:rsidR="00304EFD">
          <w:rPr>
            <w:color w:val="1155CC"/>
            <w:u w:val="single"/>
            <w:lang w:val="hu-HU"/>
          </w:rPr>
          <w:t>flights</w:t>
        </w:r>
        <w:proofErr w:type="spellEnd"/>
        <w:r w:rsidR="00304EFD">
          <w:rPr>
            <w:rStyle w:val="Lbjegyzet-horgony"/>
            <w:lang w:val="hu-HU"/>
          </w:rPr>
          <w:footnoteReference w:id="12"/>
        </w:r>
      </w:hyperlink>
    </w:p>
    <w:p w14:paraId="6E72BFAC" w14:textId="77777777" w:rsidR="00304EFD" w:rsidRDefault="00000000">
      <w:pPr>
        <w:spacing w:after="120" w:line="240" w:lineRule="auto"/>
        <w:jc w:val="both"/>
      </w:pPr>
      <w:r>
        <w:rPr>
          <w:lang w:val="hu-HU"/>
        </w:rPr>
        <w:t>A Kormány által közzétett felhívás megállapítja: “</w:t>
      </w:r>
      <w:r>
        <w:rPr>
          <w:color w:val="40403D"/>
          <w:lang w:val="hu-HU"/>
        </w:rPr>
        <w:t xml:space="preserve">A javaslat a Bizottság korábbi jelzéseinek megfelelően </w:t>
      </w:r>
      <w:r>
        <w:rPr>
          <w:b/>
          <w:bCs/>
          <w:color w:val="40403D"/>
          <w:lang w:val="hu-HU"/>
        </w:rPr>
        <w:t xml:space="preserve">nem érinti az épületekre és közúti közlekedésre vonatkozó ETS2 felülvizsgálatát.” </w:t>
      </w:r>
      <w:r>
        <w:rPr>
          <w:color w:val="40403D"/>
          <w:lang w:val="hu-HU"/>
        </w:rPr>
        <w:t>Ezt tudomásul véve, itt csak egy mondatban hívjuk fel a figyelmet arra, hogy az ETS2 további elhalasztása, illetve gyengítése súlyos gazdasági, szociális és környezeti károkkal járna.</w:t>
      </w:r>
      <w:r>
        <w:rPr>
          <w:lang w:val="hu-HU"/>
        </w:rPr>
        <w:t xml:space="preserve"> </w:t>
      </w:r>
    </w:p>
    <w:p w14:paraId="43300AE4" w14:textId="77777777" w:rsidR="00304EFD" w:rsidRDefault="00000000">
      <w:pPr>
        <w:spacing w:after="120" w:line="240" w:lineRule="auto"/>
        <w:jc w:val="both"/>
      </w:pPr>
      <w:r>
        <w:rPr>
          <w:lang w:val="hu-HU"/>
        </w:rPr>
        <w:t xml:space="preserve">Meggyőződésünk, hogy </w:t>
      </w:r>
      <w:r>
        <w:rPr>
          <w:b/>
          <w:bCs/>
          <w:lang w:val="hu-HU"/>
        </w:rPr>
        <w:t xml:space="preserve">egy erős, </w:t>
      </w:r>
      <w:proofErr w:type="spellStart"/>
      <w:r>
        <w:rPr>
          <w:b/>
          <w:bCs/>
          <w:lang w:val="hu-HU"/>
        </w:rPr>
        <w:t>ambíciózus</w:t>
      </w:r>
      <w:proofErr w:type="spellEnd"/>
      <w:r>
        <w:rPr>
          <w:b/>
          <w:bCs/>
          <w:lang w:val="hu-HU"/>
        </w:rPr>
        <w:t xml:space="preserve"> és kiszámítható EU ETS nem akadálya, hanem – a bevételek megfelelő felhasználásával együtt – az egyik legfontosabb eszköze az európai és ezen belül a magyar gazdaság modernizációjának, a piackonform versenyfeltételek kialakításának, energiabiztonságunk erősítésének és a társadalmi egyenlőtlenségek csökkentésének. Magyarországnak nem a fosszilis energiafüggőség és a szén-dioxid-intenzív technológiák konzerválása az érdeke, hanem az energiahatékony, megújuló energiára épülő, innovatív és versenyképes gazdaság, valamint egy igazságosabb társadalom megteremtése.</w:t>
      </w:r>
    </w:p>
    <w:p w14:paraId="251EABC4" w14:textId="77777777" w:rsidR="00304EFD" w:rsidRDefault="00000000">
      <w:pPr>
        <w:spacing w:after="120" w:line="240" w:lineRule="auto"/>
        <w:jc w:val="both"/>
      </w:pPr>
      <w:r>
        <w:rPr>
          <w:lang w:val="hu-HU"/>
        </w:rPr>
        <w:t>A fenti okok miatt arra kérjük a Kormányt, hogy az EU ETS felülvizsgálata során az itt kifejtett álláspontot képviselje.</w:t>
      </w:r>
    </w:p>
    <w:p w14:paraId="24B03700" w14:textId="77777777" w:rsidR="00304EFD" w:rsidRDefault="00000000">
      <w:pPr>
        <w:spacing w:after="120" w:line="240" w:lineRule="auto"/>
        <w:jc w:val="both"/>
      </w:pPr>
      <w:r>
        <w:rPr>
          <w:lang w:val="hu-HU"/>
        </w:rPr>
        <w:t>Budapest, 2026.08.15.</w:t>
      </w:r>
    </w:p>
    <w:p w14:paraId="173AC8B4" w14:textId="77777777" w:rsidR="00304EFD" w:rsidRDefault="00304EFD">
      <w:pPr>
        <w:spacing w:after="120" w:line="240" w:lineRule="auto"/>
        <w:jc w:val="both"/>
        <w:rPr>
          <w:lang w:val="hu-HU"/>
        </w:rPr>
      </w:pPr>
    </w:p>
    <w:p w14:paraId="453262BA" w14:textId="77777777" w:rsidR="00304EFD" w:rsidRDefault="00304EFD">
      <w:pPr>
        <w:pStyle w:val="NormlWeb"/>
        <w:spacing w:before="240" w:beforeAutospacing="0" w:after="240" w:afterAutospacing="0"/>
        <w:rPr>
          <w:sz w:val="22"/>
          <w:szCs w:val="22"/>
        </w:rPr>
      </w:pPr>
    </w:p>
    <w:sectPr w:rsidR="00304E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pgNumType w:start="1"/>
      <w:cols w:space="708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A8121" w14:textId="77777777" w:rsidR="008A636C" w:rsidRDefault="008A636C">
      <w:pPr>
        <w:spacing w:line="240" w:lineRule="auto"/>
      </w:pPr>
      <w:r>
        <w:separator/>
      </w:r>
    </w:p>
  </w:endnote>
  <w:endnote w:type="continuationSeparator" w:id="0">
    <w:p w14:paraId="304581B8" w14:textId="77777777" w:rsidR="008A636C" w:rsidRDefault="008A63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E6352C24-D9B9-4F7D-A451-9179AFEF1F60}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  <w:embedRegular r:id="rId2" w:fontKey="{4FB63D8A-98F4-4007-B939-8B99D7F7F19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  <w:embedRegular r:id="rId3" w:fontKey="{3B3548BB-9736-450F-AB39-716B7027F661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0D143C28-AB7D-4C2B-99B4-9CC5D01AC30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749F1FD4-B3AA-4706-80F5-632BA00E9F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D5E60" w14:textId="77777777" w:rsidR="00304EFD" w:rsidRDefault="00000000">
    <w:pPr>
      <w:pStyle w:val="llb"/>
      <w:jc w:val="center"/>
    </w:pPr>
    <w:r>
      <w:rPr>
        <w:color w:val="227ACB"/>
      </w:rPr>
      <w:t xml:space="preserve">www.levego.hu </w:t>
    </w:r>
    <w:r>
      <w:rPr>
        <w:color w:val="227ACB"/>
        <w:sz w:val="20"/>
        <w:szCs w:val="20"/>
      </w:rPr>
      <w:t xml:space="preserve">● </w:t>
    </w:r>
    <w:r>
      <w:rPr>
        <w:color w:val="227ACB"/>
      </w:rPr>
      <w:t xml:space="preserve">levego@levego.hu </w:t>
    </w:r>
    <w:r>
      <w:rPr>
        <w:color w:val="227ACB"/>
        <w:sz w:val="20"/>
        <w:szCs w:val="20"/>
      </w:rPr>
      <w:t>●</w:t>
    </w:r>
    <w:r>
      <w:rPr>
        <w:color w:val="227ACB"/>
      </w:rPr>
      <w:t xml:space="preserve"> +36204118456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4F477" w14:textId="77777777" w:rsidR="00304EFD" w:rsidRDefault="00000000">
    <w:pPr>
      <w:pStyle w:val="llb"/>
      <w:jc w:val="center"/>
    </w:pPr>
    <w:bookmarkStart w:id="6" w:name="_Hlk194669145"/>
    <w:bookmarkStart w:id="7" w:name="_Hlk194669144"/>
    <w:r>
      <w:rPr>
        <w:color w:val="227ACB"/>
      </w:rPr>
      <w:t xml:space="preserve">www.levego.hu </w:t>
    </w:r>
    <w:r>
      <w:rPr>
        <w:color w:val="227ACB"/>
        <w:sz w:val="20"/>
        <w:szCs w:val="20"/>
      </w:rPr>
      <w:t xml:space="preserve">● </w:t>
    </w:r>
    <w:r>
      <w:rPr>
        <w:color w:val="227ACB"/>
      </w:rPr>
      <w:t xml:space="preserve">levego@levego.hu </w:t>
    </w:r>
    <w:r>
      <w:rPr>
        <w:color w:val="227ACB"/>
        <w:sz w:val="20"/>
        <w:szCs w:val="20"/>
      </w:rPr>
      <w:t>●</w:t>
    </w:r>
    <w:r>
      <w:rPr>
        <w:color w:val="227ACB"/>
      </w:rPr>
      <w:t xml:space="preserve"> +36204118456</w:t>
    </w:r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6E70C" w14:textId="77777777" w:rsidR="008A636C" w:rsidRDefault="008A636C">
      <w:r>
        <w:separator/>
      </w:r>
    </w:p>
  </w:footnote>
  <w:footnote w:type="continuationSeparator" w:id="0">
    <w:p w14:paraId="6B715D70" w14:textId="77777777" w:rsidR="008A636C" w:rsidRDefault="008A636C">
      <w:r>
        <w:continuationSeparator/>
      </w:r>
    </w:p>
  </w:footnote>
  <w:footnote w:id="1">
    <w:p w14:paraId="54FF4B24" w14:textId="77777777" w:rsidR="00304EFD" w:rsidRPr="00FC39FA" w:rsidRDefault="00000000">
      <w:pPr>
        <w:spacing w:line="240" w:lineRule="auto"/>
        <w:rPr>
          <w:sz w:val="20"/>
          <w:szCs w:val="20"/>
        </w:rPr>
      </w:pPr>
      <w:r w:rsidRPr="00FC39FA">
        <w:rPr>
          <w:rStyle w:val="Lbjegyzet-karakterek"/>
          <w:sz w:val="20"/>
          <w:szCs w:val="20"/>
        </w:rPr>
        <w:footnoteRef/>
      </w:r>
      <w:r w:rsidRPr="00FC39FA">
        <w:rPr>
          <w:sz w:val="20"/>
          <w:szCs w:val="20"/>
          <w:u w:val="single"/>
        </w:rPr>
        <w:t xml:space="preserve"> </w:t>
      </w:r>
      <w:hyperlink r:id="rId1">
        <w:r w:rsidR="00304EFD" w:rsidRPr="00FC39FA">
          <w:rPr>
            <w:rStyle w:val="Internet-hivatkozs"/>
            <w:color w:val="1155CC"/>
            <w:sz w:val="20"/>
            <w:szCs w:val="20"/>
          </w:rPr>
          <w:t>https://www.imf.org/en/topics/climate-change/energy-subsidies</w:t>
        </w:r>
      </w:hyperlink>
      <w:r w:rsidRPr="00FC39FA">
        <w:rPr>
          <w:sz w:val="20"/>
          <w:szCs w:val="20"/>
          <w:u w:val="single"/>
        </w:rPr>
        <w:t xml:space="preserve"> </w:t>
      </w:r>
    </w:p>
  </w:footnote>
  <w:footnote w:id="2">
    <w:p w14:paraId="60F28A21" w14:textId="77777777" w:rsidR="00304EFD" w:rsidRPr="00FC39FA" w:rsidRDefault="00000000">
      <w:pPr>
        <w:pStyle w:val="Lbjegyzetszveg"/>
        <w:rPr>
          <w:sz w:val="20"/>
          <w:szCs w:val="20"/>
        </w:rPr>
      </w:pPr>
      <w:r w:rsidRPr="00FC39FA">
        <w:rPr>
          <w:rStyle w:val="Lbjegyzet-karakterek"/>
          <w:sz w:val="20"/>
          <w:szCs w:val="20"/>
        </w:rPr>
        <w:footnoteRef/>
      </w:r>
      <w:r w:rsidRPr="00FC39FA">
        <w:rPr>
          <w:sz w:val="20"/>
          <w:szCs w:val="20"/>
        </w:rPr>
        <w:t xml:space="preserve"> </w:t>
      </w:r>
      <w:hyperlink r:id="rId2">
        <w:r w:rsidR="00304EFD" w:rsidRPr="00FC39FA">
          <w:rPr>
            <w:rStyle w:val="Internet-hivatkozs"/>
            <w:color w:val="1155CC"/>
            <w:sz w:val="20"/>
            <w:szCs w:val="20"/>
          </w:rPr>
          <w:t>https://carbonmarketwatch.org/2026/08/12/era-of-european-industry-free-lunches-needs-to-stop/</w:t>
        </w:r>
      </w:hyperlink>
    </w:p>
  </w:footnote>
  <w:footnote w:id="3">
    <w:p w14:paraId="53A9FCF6" w14:textId="77777777" w:rsidR="00304EFD" w:rsidRPr="00FC39FA" w:rsidRDefault="00000000">
      <w:pPr>
        <w:spacing w:line="240" w:lineRule="auto"/>
        <w:rPr>
          <w:sz w:val="20"/>
          <w:szCs w:val="20"/>
        </w:rPr>
      </w:pPr>
      <w:r w:rsidRPr="00FC39FA">
        <w:rPr>
          <w:rStyle w:val="Lbjegyzet-karakterek"/>
          <w:sz w:val="20"/>
          <w:szCs w:val="20"/>
        </w:rPr>
        <w:footnoteRef/>
      </w:r>
      <w:r w:rsidRPr="00FC39FA">
        <w:rPr>
          <w:sz w:val="20"/>
          <w:szCs w:val="20"/>
          <w:u w:val="single"/>
        </w:rPr>
        <w:t xml:space="preserve">  </w:t>
      </w:r>
      <w:hyperlink r:id="rId3">
        <w:r w:rsidR="00304EFD" w:rsidRPr="00FC39FA">
          <w:rPr>
            <w:rStyle w:val="Internet-hivatkozs"/>
            <w:color w:val="1155CC"/>
            <w:sz w:val="20"/>
            <w:szCs w:val="20"/>
          </w:rPr>
          <w:t>https://eur-lex.europa.eu/legal-content/HU/TXT/HTML/?uri=CELEX:02003L0087-20240301</w:t>
        </w:r>
      </w:hyperlink>
      <w:r w:rsidRPr="00FC39FA">
        <w:rPr>
          <w:sz w:val="20"/>
          <w:szCs w:val="20"/>
          <w:u w:val="single"/>
        </w:rPr>
        <w:t xml:space="preserve"> </w:t>
      </w:r>
    </w:p>
  </w:footnote>
  <w:footnote w:id="4">
    <w:p w14:paraId="3B5A5590" w14:textId="77777777" w:rsidR="00304EFD" w:rsidRPr="00FC39FA" w:rsidRDefault="00000000">
      <w:pPr>
        <w:spacing w:line="240" w:lineRule="auto"/>
        <w:rPr>
          <w:sz w:val="20"/>
          <w:szCs w:val="20"/>
        </w:rPr>
      </w:pPr>
      <w:r w:rsidRPr="00FC39FA">
        <w:rPr>
          <w:rStyle w:val="Lbjegyzet-karakterek"/>
          <w:sz w:val="20"/>
          <w:szCs w:val="20"/>
        </w:rPr>
        <w:footnoteRef/>
      </w:r>
      <w:r w:rsidRPr="00FC39FA">
        <w:rPr>
          <w:sz w:val="20"/>
          <w:szCs w:val="20"/>
          <w:u w:val="single"/>
        </w:rPr>
        <w:t xml:space="preserve"> Részletes indoklást ld. itt: </w:t>
      </w:r>
      <w:hyperlink r:id="rId4">
        <w:r w:rsidR="00304EFD" w:rsidRPr="00FC39FA">
          <w:rPr>
            <w:rStyle w:val="Internet-hivatkozs"/>
            <w:color w:val="1155CC"/>
            <w:sz w:val="20"/>
            <w:szCs w:val="20"/>
          </w:rPr>
          <w:t>https://old.caneurope.org/content/uploads/2025/06/Open-letter-against-Art-6-use-in-EU-2040-climate-target-website.pdf</w:t>
        </w:r>
      </w:hyperlink>
      <w:r w:rsidRPr="00FC39FA">
        <w:rPr>
          <w:sz w:val="20"/>
          <w:szCs w:val="20"/>
          <w:u w:val="single"/>
        </w:rPr>
        <w:t xml:space="preserve"> </w:t>
      </w:r>
    </w:p>
  </w:footnote>
  <w:footnote w:id="5">
    <w:p w14:paraId="13915A3E" w14:textId="77777777" w:rsidR="00304EFD" w:rsidRPr="00FC39FA" w:rsidRDefault="00000000">
      <w:pPr>
        <w:spacing w:line="240" w:lineRule="auto"/>
        <w:rPr>
          <w:sz w:val="20"/>
          <w:szCs w:val="20"/>
          <w:u w:val="single"/>
        </w:rPr>
      </w:pPr>
      <w:r w:rsidRPr="00FC39FA">
        <w:rPr>
          <w:rStyle w:val="Lbjegyzet-karakterek"/>
          <w:sz w:val="20"/>
          <w:szCs w:val="20"/>
        </w:rPr>
        <w:footnoteRef/>
      </w:r>
      <w:r w:rsidRPr="00FC39FA">
        <w:rPr>
          <w:sz w:val="20"/>
          <w:szCs w:val="20"/>
          <w:u w:val="single"/>
        </w:rPr>
        <w:t xml:space="preserve"> </w:t>
      </w:r>
      <w:hyperlink r:id="rId5">
        <w:r w:rsidR="00304EFD" w:rsidRPr="00FC39FA">
          <w:rPr>
            <w:rStyle w:val="Internet-hivatkozs"/>
            <w:color w:val="1155CC"/>
            <w:sz w:val="20"/>
            <w:szCs w:val="20"/>
          </w:rPr>
          <w:t>https://www.portfolio.hu/gazdasag/20251105/sulyos-ara-lehet-a-tetlensegnek-de-magyarorszag-tovabbra-is-ellenall-797040</w:t>
        </w:r>
      </w:hyperlink>
    </w:p>
    <w:p w14:paraId="4A3FC9B3" w14:textId="77777777" w:rsidR="00304EFD" w:rsidRPr="00FC39FA" w:rsidRDefault="00304EFD">
      <w:pPr>
        <w:spacing w:line="240" w:lineRule="auto"/>
        <w:rPr>
          <w:sz w:val="20"/>
          <w:szCs w:val="20"/>
        </w:rPr>
      </w:pPr>
      <w:hyperlink r:id="rId6">
        <w:r w:rsidRPr="00FC39FA">
          <w:rPr>
            <w:rStyle w:val="Internet-hivatkozs"/>
            <w:color w:val="1155CC"/>
            <w:sz w:val="20"/>
            <w:szCs w:val="20"/>
          </w:rPr>
          <w:t>https://www.levego.hu/sites/default/files/Would_ETS2_hurt_the_economy_FINAL08-2025.pdf</w:t>
        </w:r>
      </w:hyperlink>
    </w:p>
  </w:footnote>
  <w:footnote w:id="6">
    <w:p w14:paraId="0C29B551" w14:textId="77777777" w:rsidR="00304EFD" w:rsidRPr="00FC39FA" w:rsidRDefault="00000000">
      <w:pPr>
        <w:spacing w:line="240" w:lineRule="auto"/>
        <w:rPr>
          <w:sz w:val="20"/>
          <w:szCs w:val="20"/>
        </w:rPr>
      </w:pPr>
      <w:r w:rsidRPr="00FC39FA">
        <w:rPr>
          <w:rStyle w:val="Lbjegyzet-karakterek"/>
          <w:sz w:val="20"/>
          <w:szCs w:val="20"/>
        </w:rPr>
        <w:footnoteRef/>
      </w:r>
      <w:r w:rsidRPr="00FC39FA">
        <w:rPr>
          <w:sz w:val="20"/>
          <w:szCs w:val="20"/>
          <w:u w:val="single"/>
        </w:rPr>
        <w:t xml:space="preserve"> Figyelem! A magyar fordítás pontatlan, az angol nyelvű az irányadó!</w:t>
      </w:r>
    </w:p>
  </w:footnote>
  <w:footnote w:id="7">
    <w:p w14:paraId="371D9D5F" w14:textId="77777777" w:rsidR="00304EFD" w:rsidRPr="00FC39FA" w:rsidRDefault="00000000">
      <w:pPr>
        <w:spacing w:line="240" w:lineRule="auto"/>
        <w:rPr>
          <w:sz w:val="20"/>
          <w:szCs w:val="20"/>
        </w:rPr>
      </w:pPr>
      <w:r w:rsidRPr="00FC39FA">
        <w:rPr>
          <w:rStyle w:val="Lbjegyzet-karakterek"/>
          <w:sz w:val="20"/>
          <w:szCs w:val="20"/>
        </w:rPr>
        <w:footnoteRef/>
      </w:r>
      <w:r w:rsidRPr="00FC39FA">
        <w:rPr>
          <w:sz w:val="20"/>
          <w:szCs w:val="20"/>
          <w:u w:val="single"/>
        </w:rPr>
        <w:t xml:space="preserve"> </w:t>
      </w:r>
      <w:hyperlink r:id="rId7">
        <w:r w:rsidR="00304EFD" w:rsidRPr="00FC39FA">
          <w:rPr>
            <w:rStyle w:val="Internet-hivatkozs"/>
            <w:color w:val="1155CC"/>
            <w:sz w:val="20"/>
            <w:szCs w:val="20"/>
          </w:rPr>
          <w:t>https://levegomunkacsoport.blog.hu/2026/08/13/ne_tamogassuk_tovabb_a_gazdagokat_325</w:t>
        </w:r>
      </w:hyperlink>
      <w:r w:rsidRPr="00FC39FA">
        <w:rPr>
          <w:sz w:val="20"/>
          <w:szCs w:val="20"/>
          <w:u w:val="single"/>
        </w:rPr>
        <w:t xml:space="preserve"> </w:t>
      </w:r>
    </w:p>
  </w:footnote>
  <w:footnote w:id="8">
    <w:p w14:paraId="062B2127" w14:textId="77777777" w:rsidR="00304EFD" w:rsidRPr="00FC39FA" w:rsidRDefault="00000000">
      <w:pPr>
        <w:spacing w:line="240" w:lineRule="auto"/>
        <w:rPr>
          <w:sz w:val="20"/>
          <w:szCs w:val="20"/>
        </w:rPr>
      </w:pPr>
      <w:r w:rsidRPr="00FC39FA">
        <w:rPr>
          <w:rStyle w:val="Lbjegyzet-karakterek"/>
          <w:sz w:val="20"/>
          <w:szCs w:val="20"/>
        </w:rPr>
        <w:footnoteRef/>
      </w:r>
      <w:r w:rsidRPr="00FC39FA">
        <w:rPr>
          <w:sz w:val="20"/>
          <w:szCs w:val="20"/>
          <w:u w:val="single"/>
        </w:rPr>
        <w:t> </w:t>
      </w:r>
      <w:hyperlink r:id="rId8">
        <w:r w:rsidR="00304EFD" w:rsidRPr="00FC39FA">
          <w:rPr>
            <w:rStyle w:val="Internet-hivatkozs"/>
            <w:color w:val="1155CC"/>
            <w:sz w:val="20"/>
            <w:szCs w:val="20"/>
          </w:rPr>
          <w:t>https://levegomunkacsoport.blog.hu/2026/08/13/nagyot_fog_dragulni_a_futes_es_az_autozas_ha_nem_lepunk_idoben</w:t>
        </w:r>
      </w:hyperlink>
      <w:r w:rsidRPr="00FC39FA">
        <w:rPr>
          <w:sz w:val="20"/>
          <w:szCs w:val="20"/>
          <w:u w:val="single"/>
        </w:rPr>
        <w:t xml:space="preserve"> </w:t>
      </w:r>
    </w:p>
  </w:footnote>
  <w:footnote w:id="9">
    <w:p w14:paraId="3FA38E44" w14:textId="77777777" w:rsidR="00304EFD" w:rsidRPr="00FC39FA" w:rsidRDefault="00000000">
      <w:pPr>
        <w:spacing w:line="240" w:lineRule="auto"/>
        <w:rPr>
          <w:sz w:val="20"/>
          <w:szCs w:val="20"/>
        </w:rPr>
      </w:pPr>
      <w:r w:rsidRPr="00FC39FA">
        <w:rPr>
          <w:rStyle w:val="Lbjegyzet-karakterek"/>
          <w:sz w:val="20"/>
          <w:szCs w:val="20"/>
        </w:rPr>
        <w:footnoteRef/>
      </w:r>
      <w:r w:rsidRPr="00FC39FA">
        <w:rPr>
          <w:sz w:val="20"/>
          <w:szCs w:val="20"/>
          <w:u w:val="single"/>
        </w:rPr>
        <w:t xml:space="preserve"> </w:t>
      </w:r>
      <w:hyperlink r:id="rId9">
        <w:r w:rsidR="00304EFD" w:rsidRPr="00FC39FA">
          <w:rPr>
            <w:rStyle w:val="Internet-hivatkozs"/>
            <w:color w:val="1155CC"/>
            <w:sz w:val="20"/>
            <w:szCs w:val="20"/>
          </w:rPr>
          <w:t>https://www.oecd.org/content/dam/oecd/en/publications/reports/2015/05/in-it-together-why-less-inequality-benefits-all_g1g554a1/9789264235120-en.pdf</w:t>
        </w:r>
      </w:hyperlink>
      <w:r w:rsidRPr="00FC39FA">
        <w:rPr>
          <w:sz w:val="20"/>
          <w:szCs w:val="20"/>
          <w:u w:val="single"/>
        </w:rPr>
        <w:t xml:space="preserve"> </w:t>
      </w:r>
    </w:p>
  </w:footnote>
  <w:footnote w:id="10">
    <w:p w14:paraId="009589EB" w14:textId="77777777" w:rsidR="00304EFD" w:rsidRPr="00FC39FA" w:rsidRDefault="00000000">
      <w:pPr>
        <w:spacing w:line="240" w:lineRule="auto"/>
        <w:rPr>
          <w:sz w:val="20"/>
          <w:szCs w:val="20"/>
        </w:rPr>
      </w:pPr>
      <w:r w:rsidRPr="00FC39FA">
        <w:rPr>
          <w:rStyle w:val="Lbjegyzet-karakterek"/>
          <w:sz w:val="20"/>
          <w:szCs w:val="20"/>
        </w:rPr>
        <w:footnoteRef/>
      </w:r>
      <w:r w:rsidRPr="00FC39FA">
        <w:rPr>
          <w:sz w:val="20"/>
          <w:szCs w:val="20"/>
          <w:u w:val="single"/>
        </w:rPr>
        <w:t xml:space="preserve"> </w:t>
      </w:r>
      <w:hyperlink r:id="rId10">
        <w:r w:rsidR="00304EFD" w:rsidRPr="00FC39FA">
          <w:rPr>
            <w:rStyle w:val="Internet-hivatkozs"/>
            <w:color w:val="1155CC"/>
            <w:sz w:val="20"/>
            <w:szCs w:val="20"/>
          </w:rPr>
          <w:t>https://eeb.org/en/library/recommendations-for-the-revision-of-the-eu-emissions-trading-system-ets/</w:t>
        </w:r>
      </w:hyperlink>
      <w:r w:rsidRPr="00FC39FA">
        <w:rPr>
          <w:sz w:val="20"/>
          <w:szCs w:val="20"/>
          <w:u w:val="single"/>
        </w:rPr>
        <w:t xml:space="preserve"> </w:t>
      </w:r>
      <w:r w:rsidRPr="00FC39FA">
        <w:rPr>
          <w:rFonts w:eastAsia="Times New Roman"/>
          <w:sz w:val="20"/>
          <w:szCs w:val="20"/>
          <w:u w:val="single"/>
        </w:rPr>
        <w:t xml:space="preserve"> </w:t>
      </w:r>
      <w:r w:rsidRPr="00FC39FA">
        <w:rPr>
          <w:sz w:val="20"/>
          <w:szCs w:val="20"/>
          <w:u w:val="single"/>
        </w:rPr>
        <w:t xml:space="preserve">  </w:t>
      </w:r>
    </w:p>
  </w:footnote>
  <w:footnote w:id="11">
    <w:p w14:paraId="03D8AD3A" w14:textId="77777777" w:rsidR="00304EFD" w:rsidRPr="00FC39FA" w:rsidRDefault="00000000">
      <w:pPr>
        <w:spacing w:line="240" w:lineRule="auto"/>
        <w:rPr>
          <w:sz w:val="20"/>
          <w:szCs w:val="20"/>
        </w:rPr>
      </w:pPr>
      <w:r w:rsidRPr="00FC39FA">
        <w:rPr>
          <w:rStyle w:val="Lbjegyzet-karakterek"/>
          <w:sz w:val="20"/>
          <w:szCs w:val="20"/>
        </w:rPr>
        <w:footnoteRef/>
      </w:r>
      <w:r w:rsidRPr="00FC39FA">
        <w:rPr>
          <w:color w:val="1155CC"/>
          <w:sz w:val="20"/>
          <w:szCs w:val="20"/>
          <w:u w:val="single"/>
        </w:rPr>
        <w:t xml:space="preserve"> </w:t>
      </w:r>
      <w:hyperlink r:id="rId11">
        <w:r w:rsidR="00304EFD" w:rsidRPr="00FC39FA">
          <w:rPr>
            <w:rStyle w:val="Internet-hivatkozs"/>
            <w:rFonts w:eastAsia="Times New Roman"/>
            <w:color w:val="1155CC"/>
            <w:sz w:val="20"/>
            <w:szCs w:val="20"/>
          </w:rPr>
          <w:t>https://caneurope.org/news/making-the-most-of-the-eu-ets-revision-in-central-and-eastern-europe/</w:t>
        </w:r>
      </w:hyperlink>
      <w:r w:rsidRPr="00FC39FA">
        <w:rPr>
          <w:rFonts w:eastAsia="Times New Roman"/>
          <w:sz w:val="20"/>
          <w:szCs w:val="20"/>
          <w:u w:val="single"/>
        </w:rPr>
        <w:t xml:space="preserve"> </w:t>
      </w:r>
      <w:r w:rsidRPr="00FC39FA">
        <w:rPr>
          <w:sz w:val="20"/>
          <w:szCs w:val="20"/>
          <w:u w:val="single"/>
        </w:rPr>
        <w:t xml:space="preserve">  </w:t>
      </w:r>
    </w:p>
  </w:footnote>
  <w:footnote w:id="12">
    <w:p w14:paraId="2A7A4E08" w14:textId="77777777" w:rsidR="00304EFD" w:rsidRPr="00FC39FA" w:rsidRDefault="00000000">
      <w:pPr>
        <w:spacing w:line="240" w:lineRule="auto"/>
        <w:rPr>
          <w:sz w:val="20"/>
          <w:szCs w:val="20"/>
        </w:rPr>
      </w:pPr>
      <w:r w:rsidRPr="00FC39FA">
        <w:rPr>
          <w:rStyle w:val="Lbjegyzet-karakterek"/>
          <w:sz w:val="20"/>
          <w:szCs w:val="20"/>
        </w:rPr>
        <w:footnoteRef/>
      </w:r>
      <w:r w:rsidRPr="00FC39FA">
        <w:rPr>
          <w:sz w:val="20"/>
          <w:szCs w:val="20"/>
          <w:u w:val="single"/>
        </w:rPr>
        <w:t xml:space="preserve"> </w:t>
      </w:r>
      <w:hyperlink r:id="rId12">
        <w:r w:rsidR="00304EFD" w:rsidRPr="00FC39FA">
          <w:rPr>
            <w:rStyle w:val="Internet-hivatkozs"/>
            <w:rFonts w:eastAsia="Times New Roman"/>
            <w:color w:val="1155CC"/>
            <w:sz w:val="20"/>
            <w:szCs w:val="20"/>
          </w:rPr>
          <w:t>https://www.transportenvironment.org/articles/eu-takes-half-hearted-step-towards-taxing-international-flights</w:t>
        </w:r>
      </w:hyperlink>
      <w:r w:rsidRPr="00FC39FA">
        <w:rPr>
          <w:rFonts w:eastAsia="Times New Roman"/>
          <w:sz w:val="20"/>
          <w:szCs w:val="20"/>
          <w:u w:val="single"/>
        </w:rPr>
        <w:t xml:space="preserve"> </w:t>
      </w:r>
      <w:r w:rsidRPr="00FC39FA">
        <w:rPr>
          <w:sz w:val="20"/>
          <w:szCs w:val="20"/>
          <w:u w:val="single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224587"/>
      <w:docPartObj>
        <w:docPartGallery w:val="Page Numbers (Top of Page)"/>
        <w:docPartUnique/>
      </w:docPartObj>
    </w:sdtPr>
    <w:sdtContent>
      <w:p w14:paraId="6EC22606" w14:textId="77777777" w:rsidR="00304EFD" w:rsidRDefault="00000000">
        <w:pPr>
          <w:pStyle w:val="lfej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2939B548" w14:textId="77777777" w:rsidR="00304EFD" w:rsidRDefault="00304EF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6969" w14:textId="77777777" w:rsidR="00304EFD" w:rsidRDefault="00000000">
    <w:pPr>
      <w:pStyle w:val="lfej"/>
    </w:pPr>
    <w:bookmarkStart w:id="0" w:name="_Hlk194669743"/>
    <w:bookmarkStart w:id="1" w:name="_Hlk194669742"/>
    <w:bookmarkStart w:id="2" w:name="_Hlk176326373"/>
    <w:bookmarkStart w:id="3" w:name="_Hlk176326372"/>
    <w:bookmarkStart w:id="4" w:name="_Hlk176326353"/>
    <w:bookmarkStart w:id="5" w:name="_Hlk176326352"/>
    <w:r>
      <w:rPr>
        <w:noProof/>
      </w:rPr>
      <w:drawing>
        <wp:inline distT="0" distB="0" distL="0" distR="0" wp14:anchorId="7D2C5702" wp14:editId="2912E59C">
          <wp:extent cx="3962400" cy="942975"/>
          <wp:effectExtent l="0" t="0" r="0" b="0"/>
          <wp:docPr id="1" name="Ké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94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C12EE"/>
    <w:multiLevelType w:val="multilevel"/>
    <w:tmpl w:val="52923674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24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44F2474D"/>
    <w:multiLevelType w:val="multilevel"/>
    <w:tmpl w:val="3DC2B446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z w:val="24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668018F1"/>
    <w:multiLevelType w:val="multilevel"/>
    <w:tmpl w:val="298895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49423178">
    <w:abstractNumId w:val="0"/>
  </w:num>
  <w:num w:numId="2" w16cid:durableId="331033374">
    <w:abstractNumId w:val="1"/>
  </w:num>
  <w:num w:numId="3" w16cid:durableId="2044479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BmJzYyMjYzNDS0sjEyUdpeDU4uLM/DyQAsNaAEj2qawsAAAA"/>
  </w:docVars>
  <w:rsids>
    <w:rsidRoot w:val="00304EFD"/>
    <w:rsid w:val="00304EFD"/>
    <w:rsid w:val="003A2FEF"/>
    <w:rsid w:val="006221B0"/>
    <w:rsid w:val="006C4C50"/>
    <w:rsid w:val="008A636C"/>
    <w:rsid w:val="00DB6959"/>
    <w:rsid w:val="00FC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1566"/>
  <w15:docId w15:val="{B1E9E50C-6204-45FA-AB3C-2970A674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line="276" w:lineRule="auto"/>
    </w:p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uiPriority w:val="99"/>
    <w:unhideWhenUsed/>
    <w:rsid w:val="00F71947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qFormat/>
    <w:rsid w:val="00F71947"/>
    <w:rPr>
      <w:color w:val="605E5C"/>
      <w:shd w:val="clear" w:color="auto" w:fill="E1DFDD"/>
    </w:rPr>
  </w:style>
  <w:style w:type="character" w:customStyle="1" w:styleId="lfejChar">
    <w:name w:val="Élőfej Char"/>
    <w:basedOn w:val="Bekezdsalapbettpusa"/>
    <w:uiPriority w:val="99"/>
    <w:qFormat/>
    <w:rsid w:val="005E48DB"/>
  </w:style>
  <w:style w:type="character" w:customStyle="1" w:styleId="llbChar">
    <w:name w:val="Élőláb Char"/>
    <w:basedOn w:val="Bekezdsalapbettpusa"/>
    <w:uiPriority w:val="99"/>
    <w:qFormat/>
    <w:rsid w:val="005E48DB"/>
  </w:style>
  <w:style w:type="character" w:customStyle="1" w:styleId="Lbjegyzet-karakterek">
    <w:name w:val="Lábjegyzet-karakterek"/>
    <w:qFormat/>
  </w:style>
  <w:style w:type="character" w:customStyle="1" w:styleId="Lbjegyzet-horgony">
    <w:name w:val="Lábjegyzet-horgony"/>
    <w:rPr>
      <w:vertAlign w:val="superscript"/>
    </w:rPr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lWeb">
    <w:name w:val="Normal (Web)"/>
    <w:basedOn w:val="Norml"/>
    <w:uiPriority w:val="99"/>
    <w:unhideWhenUsed/>
    <w:qFormat/>
    <w:rsid w:val="005E48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/>
    </w:rPr>
  </w:style>
  <w:style w:type="paragraph" w:customStyle="1" w:styleId="lfejsllb">
    <w:name w:val="Élőfej és élőláb"/>
    <w:basedOn w:val="Norml"/>
    <w:qFormat/>
  </w:style>
  <w:style w:type="paragraph" w:styleId="lfej">
    <w:name w:val="header"/>
    <w:basedOn w:val="Norml"/>
    <w:uiPriority w:val="99"/>
    <w:unhideWhenUsed/>
    <w:rsid w:val="005E48DB"/>
    <w:pPr>
      <w:tabs>
        <w:tab w:val="center" w:pos="4536"/>
        <w:tab w:val="right" w:pos="9072"/>
      </w:tabs>
      <w:spacing w:line="240" w:lineRule="auto"/>
    </w:pPr>
  </w:style>
  <w:style w:type="paragraph" w:styleId="llb">
    <w:name w:val="footer"/>
    <w:basedOn w:val="Norml"/>
    <w:unhideWhenUsed/>
    <w:rsid w:val="005E48DB"/>
    <w:pPr>
      <w:tabs>
        <w:tab w:val="center" w:pos="4536"/>
        <w:tab w:val="right" w:pos="9072"/>
      </w:tabs>
      <w:spacing w:line="240" w:lineRule="auto"/>
    </w:pPr>
  </w:style>
  <w:style w:type="paragraph" w:styleId="Lbjegyzetszveg">
    <w:name w:val="footnote text"/>
    <w:basedOn w:val="Norml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ransportenvironment.org/articles/eu-takes-half-hearted-step-towards-taxing-international-fligh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evegomunkacsoport.blog.hu/2026/08/13/nagyot_fog_dragulni_a_futes_es_az_autozas_ha_nem_lepunk_idoben" TargetMode="External"/><Relationship Id="rId3" Type="http://schemas.openxmlformats.org/officeDocument/2006/relationships/hyperlink" Target="https://eur-lex.europa.eu/legal-content/HU/TXT/HTML/?uri=CELEX:02003L0087-20240301" TargetMode="External"/><Relationship Id="rId7" Type="http://schemas.openxmlformats.org/officeDocument/2006/relationships/hyperlink" Target="https://levegomunkacsoport.blog.hu/2026/08/13/ne_tamogassuk_tovabb_a_gazdagokat_325" TargetMode="External"/><Relationship Id="rId12" Type="http://schemas.openxmlformats.org/officeDocument/2006/relationships/hyperlink" Target="https://www.transportenvironment.org/articles/eu-takes-half-hearted-step-towards-taxing-international-flights" TargetMode="External"/><Relationship Id="rId2" Type="http://schemas.openxmlformats.org/officeDocument/2006/relationships/hyperlink" Target="https://carbonmarketwatch.org/2026/08/12/era-of-european-industry-free-lunches-needs-to-stop/" TargetMode="External"/><Relationship Id="rId1" Type="http://schemas.openxmlformats.org/officeDocument/2006/relationships/hyperlink" Target="https://www.imf.org/en/topics/climate-change/energy-subsidies" TargetMode="External"/><Relationship Id="rId6" Type="http://schemas.openxmlformats.org/officeDocument/2006/relationships/hyperlink" Target="https://www.levego.hu/sites/default/files/Would_ETS2_hurt_the_economy_FINAL08-2025.pdf" TargetMode="External"/><Relationship Id="rId11" Type="http://schemas.openxmlformats.org/officeDocument/2006/relationships/hyperlink" Target="https://caneurope.org/news/making-the-most-of-the-eu-ets-revision-in-central-and-eastern-europe/" TargetMode="External"/><Relationship Id="rId5" Type="http://schemas.openxmlformats.org/officeDocument/2006/relationships/hyperlink" Target="https://www.portfolio.hu/gazdasag/20251105/sulyos-ara-lehet-a-tetlensegnek-de-magyarorszag-tovabbra-is-ellenall-797040" TargetMode="External"/><Relationship Id="rId10" Type="http://schemas.openxmlformats.org/officeDocument/2006/relationships/hyperlink" Target="https://eeb.org/en/library/recommendations-for-the-revision-of-the-eu-emissions-trading-system-ets/" TargetMode="External"/><Relationship Id="rId4" Type="http://schemas.openxmlformats.org/officeDocument/2006/relationships/hyperlink" Target="https://old.caneurope.org/content/uploads/2025/06/Open-letter-against-Art-6-use-in-EU-2040-climate-target-website.pdf" TargetMode="External"/><Relationship Id="rId9" Type="http://schemas.openxmlformats.org/officeDocument/2006/relationships/hyperlink" Target="https://www.oecd.org/content/dam/oecd/en/publications/reports/2015/05/in-it-together-why-less-inequality-benefits-all_g1g554a1/9789264235120-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7122</Characters>
  <Application>Microsoft Office Word</Application>
  <DocSecurity>0</DocSecurity>
  <Lines>59</Lines>
  <Paragraphs>16</Paragraphs>
  <ScaleCrop>false</ScaleCrop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Lukács András</dc:creator>
  <dc:description/>
  <cp:lastModifiedBy>András Lukács</cp:lastModifiedBy>
  <cp:revision>2</cp:revision>
  <dcterms:created xsi:type="dcterms:W3CDTF">2026-08-16T09:48:00Z</dcterms:created>
  <dcterms:modified xsi:type="dcterms:W3CDTF">2026-08-16T09:48:00Z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